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30" w:rsidRDefault="009501AD" w:rsidP="00956ADA">
      <w:pPr>
        <w:ind w:right="427"/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На основу Решења o </w:t>
      </w:r>
      <w:r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</w:t>
      </w:r>
      <w:r w:rsidR="004A62E7">
        <w:rPr>
          <w:noProof/>
          <w:sz w:val="22"/>
          <w:szCs w:val="22"/>
          <w:lang w:val="sr-Cyrl-RS"/>
        </w:rPr>
        <w:t>Ниш</w:t>
      </w:r>
      <w:r>
        <w:rPr>
          <w:noProof/>
          <w:sz w:val="22"/>
          <w:szCs w:val="22"/>
        </w:rPr>
        <w:t xml:space="preserve">у бр. </w:t>
      </w:r>
      <w:r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</w:rPr>
        <w:t xml:space="preserve">. Ст.  </w:t>
      </w:r>
      <w:r>
        <w:rPr>
          <w:noProof/>
          <w:sz w:val="22"/>
          <w:szCs w:val="22"/>
          <w:lang w:val="sr-Cyrl-RS"/>
        </w:rPr>
        <w:t>32</w:t>
      </w:r>
      <w:r>
        <w:rPr>
          <w:bCs/>
          <w:sz w:val="22"/>
          <w:szCs w:val="22"/>
          <w:lang w:val="sr-Cyrl-CS"/>
        </w:rPr>
        <w:t>/2019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од </w:t>
      </w:r>
      <w:r>
        <w:rPr>
          <w:noProof/>
          <w:sz w:val="22"/>
          <w:szCs w:val="22"/>
          <w:lang w:val="sr-Cyrl-CS"/>
        </w:rPr>
        <w:t>23.07</w:t>
      </w:r>
      <w:r>
        <w:rPr>
          <w:noProof/>
          <w:sz w:val="22"/>
          <w:szCs w:val="22"/>
        </w:rPr>
        <w:t>.201</w:t>
      </w:r>
      <w:r>
        <w:rPr>
          <w:noProof/>
          <w:sz w:val="22"/>
          <w:szCs w:val="22"/>
          <w:lang w:val="sr-Cyrl-RS"/>
        </w:rPr>
        <w:t>9</w:t>
      </w:r>
      <w:r>
        <w:rPr>
          <w:noProof/>
          <w:sz w:val="22"/>
          <w:szCs w:val="22"/>
        </w:rPr>
        <w:t xml:space="preserve">. </w:t>
      </w:r>
      <w:proofErr w:type="gramStart"/>
      <w:r>
        <w:rPr>
          <w:noProof/>
          <w:sz w:val="22"/>
          <w:szCs w:val="22"/>
        </w:rPr>
        <w:t xml:space="preserve">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</w:t>
      </w:r>
      <w:proofErr w:type="gramEnd"/>
      <w:r>
        <w:rPr>
          <w:noProof/>
          <w:sz w:val="22"/>
          <w:szCs w:val="22"/>
        </w:rPr>
        <w:t xml:space="preserve"> и 133. </w:t>
      </w:r>
      <w:proofErr w:type="gramStart"/>
      <w:r>
        <w:rPr>
          <w:noProof/>
          <w:sz w:val="22"/>
          <w:szCs w:val="22"/>
        </w:rPr>
        <w:t>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>Националним стандардом бр.</w:t>
      </w:r>
      <w:proofErr w:type="gramEnd"/>
      <w:r>
        <w:rPr>
          <w:noProof/>
          <w:spacing w:val="-1"/>
          <w:sz w:val="22"/>
          <w:szCs w:val="22"/>
        </w:rPr>
        <w:t xml:space="preserve">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</w:t>
      </w:r>
      <w:r w:rsidR="004F6A66">
        <w:rPr>
          <w:noProof/>
          <w:sz w:val="22"/>
          <w:szCs w:val="22"/>
          <w:lang w:val="sr-Cyrl-RS"/>
        </w:rPr>
        <w:t xml:space="preserve"> Одлуке одбора поверилаца од 03.04.2020.год., </w:t>
      </w:r>
      <w:r>
        <w:rPr>
          <w:noProof/>
          <w:sz w:val="22"/>
          <w:szCs w:val="22"/>
        </w:rPr>
        <w:t xml:space="preserve"> стечајни управник стечајног дужника</w:t>
      </w:r>
      <w:r w:rsidRPr="00432E42">
        <w:rPr>
          <w:sz w:val="22"/>
          <w:szCs w:val="22"/>
          <w:lang w:val="sr-Cyrl-CS"/>
        </w:rPr>
        <w:t xml:space="preserve">  </w:t>
      </w:r>
    </w:p>
    <w:p w:rsidR="009501AD" w:rsidRDefault="009501AD" w:rsidP="00956ADA">
      <w:pPr>
        <w:ind w:right="427"/>
        <w:jc w:val="both"/>
        <w:rPr>
          <w:noProof/>
          <w:sz w:val="22"/>
          <w:szCs w:val="22"/>
        </w:rPr>
      </w:pPr>
      <w:r w:rsidRPr="00432E42">
        <w:rPr>
          <w:sz w:val="22"/>
          <w:szCs w:val="22"/>
          <w:lang w:val="sr-Cyrl-CS"/>
        </w:rPr>
        <w:t xml:space="preserve">                                                        </w:t>
      </w:r>
    </w:p>
    <w:p w:rsidR="009501AD" w:rsidRPr="009D02D9" w:rsidRDefault="009501AD" w:rsidP="009501AD">
      <w:pPr>
        <w:spacing w:line="288" w:lineRule="exact"/>
        <w:ind w:right="427"/>
        <w:jc w:val="center"/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Предузеће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производњу</w:t>
      </w:r>
      <w:proofErr w:type="spellEnd"/>
      <w:r>
        <w:rPr>
          <w:b/>
          <w:sz w:val="22"/>
          <w:szCs w:val="22"/>
          <w:lang w:val="sr-Cyrl-RS"/>
        </w:rPr>
        <w:t xml:space="preserve"> трговину и транспорт НЕЦА ТТПП доо Прокупље</w:t>
      </w:r>
      <w:r w:rsidRPr="00432E42">
        <w:rPr>
          <w:b/>
          <w:sz w:val="22"/>
          <w:szCs w:val="22"/>
        </w:rPr>
        <w:t xml:space="preserve"> - у </w:t>
      </w:r>
      <w:proofErr w:type="spellStart"/>
      <w:r w:rsidRPr="00432E42">
        <w:rPr>
          <w:b/>
          <w:sz w:val="22"/>
          <w:szCs w:val="22"/>
        </w:rPr>
        <w:t>стечају</w:t>
      </w:r>
      <w:proofErr w:type="spellEnd"/>
      <w:r w:rsidRPr="00432E42">
        <w:rPr>
          <w:b/>
          <w:sz w:val="22"/>
          <w:szCs w:val="22"/>
        </w:rPr>
        <w:t>,</w:t>
      </w:r>
    </w:p>
    <w:p w:rsidR="009501AD" w:rsidRDefault="009501AD" w:rsidP="009501A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18400 Прокупље, Авалска 17</w:t>
      </w:r>
    </w:p>
    <w:p w:rsidR="00D36130" w:rsidRDefault="00D36130" w:rsidP="009501AD">
      <w:pPr>
        <w:jc w:val="center"/>
        <w:rPr>
          <w:b/>
          <w:sz w:val="22"/>
          <w:szCs w:val="22"/>
          <w:lang w:val="sr-Cyrl-CS"/>
        </w:rPr>
      </w:pPr>
    </w:p>
    <w:p w:rsidR="009501AD" w:rsidRPr="004A62E7" w:rsidRDefault="009501AD" w:rsidP="009501AD">
      <w:pPr>
        <w:jc w:val="both"/>
        <w:rPr>
          <w:sz w:val="10"/>
          <w:szCs w:val="10"/>
          <w:lang w:val="sr-Cyrl-RS"/>
        </w:rPr>
      </w:pP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01AD" w:rsidRDefault="004F6A66" w:rsidP="009501AD">
      <w:pPr>
        <w:jc w:val="center"/>
        <w:rPr>
          <w:b/>
          <w:sz w:val="28"/>
          <w:szCs w:val="22"/>
          <w:lang w:val="sr-Cyrl-RS"/>
        </w:rPr>
      </w:pPr>
      <w:r>
        <w:rPr>
          <w:b/>
          <w:sz w:val="28"/>
          <w:szCs w:val="22"/>
        </w:rPr>
        <w:t xml:space="preserve"> </w:t>
      </w:r>
      <w:proofErr w:type="spellStart"/>
      <w:proofErr w:type="gramStart"/>
      <w:r>
        <w:rPr>
          <w:b/>
          <w:sz w:val="28"/>
          <w:szCs w:val="22"/>
        </w:rPr>
        <w:t>продају</w:t>
      </w:r>
      <w:proofErr w:type="spellEnd"/>
      <w:proofErr w:type="gramEnd"/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покретне</w:t>
      </w:r>
      <w:proofErr w:type="spellEnd"/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имовине</w:t>
      </w:r>
      <w:proofErr w:type="spellEnd"/>
      <w:r>
        <w:rPr>
          <w:b/>
          <w:sz w:val="28"/>
          <w:szCs w:val="22"/>
          <w:lang w:val="sr-Cyrl-RS"/>
        </w:rPr>
        <w:t>-возила</w:t>
      </w:r>
    </w:p>
    <w:p w:rsidR="004F6A66" w:rsidRPr="004F6A66" w:rsidRDefault="004F6A66" w:rsidP="009501AD">
      <w:pPr>
        <w:jc w:val="center"/>
        <w:rPr>
          <w:b/>
          <w:sz w:val="28"/>
          <w:szCs w:val="22"/>
          <w:lang w:val="sr-Cyrl-RS"/>
        </w:rPr>
      </w:pPr>
      <w:r>
        <w:rPr>
          <w:b/>
          <w:sz w:val="28"/>
          <w:szCs w:val="22"/>
          <w:lang w:val="sr-Cyrl-RS"/>
        </w:rPr>
        <w:t>МЕТОДОМ НЕПОСРЕДНЕ ПОГОДБЕ НП2</w:t>
      </w:r>
    </w:p>
    <w:p w:rsidR="00956ADA" w:rsidRPr="004A62E7" w:rsidRDefault="00956ADA" w:rsidP="009501AD">
      <w:pPr>
        <w:rPr>
          <w:b/>
          <w:sz w:val="10"/>
          <w:szCs w:val="10"/>
          <w:lang w:val="sr-Cyrl-RS"/>
        </w:rPr>
      </w:pPr>
    </w:p>
    <w:p w:rsidR="00F6175A" w:rsidRDefault="00F6175A" w:rsidP="00F6175A">
      <w:pPr>
        <w:jc w:val="both"/>
        <w:rPr>
          <w:sz w:val="22"/>
          <w:szCs w:val="22"/>
          <w:lang w:val="sr-Cyrl-RS"/>
        </w:rPr>
      </w:pPr>
      <w:r w:rsidRPr="00F6175A">
        <w:rPr>
          <w:sz w:val="22"/>
          <w:szCs w:val="22"/>
          <w:lang w:val="sr-Cyrl-RS"/>
        </w:rPr>
        <w:t>П</w:t>
      </w:r>
      <w:r w:rsidRPr="00F6175A">
        <w:rPr>
          <w:sz w:val="22"/>
          <w:szCs w:val="22"/>
          <w:lang w:val="sr-Cyrl-RS"/>
        </w:rPr>
        <w:t>родаја непосредном погодбом понуђачу,  по Одлуци Одбора Поверилаца од 03.04.2020.год. купцу Привредно</w:t>
      </w:r>
      <w:r w:rsidRPr="009F73E9">
        <w:rPr>
          <w:sz w:val="22"/>
          <w:szCs w:val="22"/>
          <w:lang w:val="sr-Cyrl-RS"/>
        </w:rPr>
        <w:t xml:space="preserve"> друштво за транспорт БРАЋА РАДОВАНОВИЋ ДОО КУРШУМЛИЈА, ПИБ 108273272, матични број 20966144</w:t>
      </w:r>
      <w:r>
        <w:rPr>
          <w:sz w:val="22"/>
          <w:szCs w:val="22"/>
          <w:lang w:val="sr-Cyrl-RS"/>
        </w:rPr>
        <w:t>, из Куршумлије, Баћоглавска 3, возила стечајног дужника и то:</w:t>
      </w:r>
    </w:p>
    <w:p w:rsidR="00F6175A" w:rsidRDefault="00F6175A" w:rsidP="001847F3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268"/>
        <w:gridCol w:w="1984"/>
      </w:tblGrid>
      <w:tr w:rsidR="00D36130" w:rsidRPr="00880367" w:rsidTr="006C222A">
        <w:tc>
          <w:tcPr>
            <w:tcW w:w="534" w:type="dxa"/>
            <w:vAlign w:val="center"/>
          </w:tcPr>
          <w:p w:rsidR="00D36130" w:rsidRPr="00880367" w:rsidRDefault="00D36130" w:rsidP="00660F0D">
            <w:pPr>
              <w:jc w:val="center"/>
              <w:rPr>
                <w:sz w:val="22"/>
                <w:szCs w:val="22"/>
                <w:lang w:val="sr-Cyrl-RS"/>
              </w:rPr>
            </w:pPr>
            <w:r w:rsidRPr="00880367">
              <w:rPr>
                <w:sz w:val="22"/>
                <w:szCs w:val="22"/>
                <w:lang w:val="sr-Cyrl-RS"/>
              </w:rPr>
              <w:t>Р.</w:t>
            </w:r>
            <w:r>
              <w:rPr>
                <w:sz w:val="22"/>
                <w:szCs w:val="22"/>
                <w:lang w:val="sr-Latn-ME"/>
              </w:rPr>
              <w:t xml:space="preserve"> </w:t>
            </w:r>
            <w:r w:rsidRPr="00880367"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6237" w:type="dxa"/>
            <w:vAlign w:val="center"/>
          </w:tcPr>
          <w:p w:rsidR="00D36130" w:rsidRDefault="00D36130" w:rsidP="00660F0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Опис имовине </w:t>
            </w:r>
          </w:p>
          <w:p w:rsidR="00D36130" w:rsidRPr="00D522C4" w:rsidRDefault="00D36130" w:rsidP="00660F0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22C4">
              <w:rPr>
                <w:b/>
                <w:sz w:val="22"/>
                <w:szCs w:val="22"/>
                <w:lang w:val="sr-Cyrl-RS"/>
              </w:rPr>
              <w:t>ВОЗИЛА</w:t>
            </w:r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 xml:space="preserve">Почетна </w:t>
            </w:r>
          </w:p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цена на ЈН1</w:t>
            </w:r>
          </w:p>
        </w:tc>
        <w:tc>
          <w:tcPr>
            <w:tcW w:w="1984" w:type="dxa"/>
            <w:vAlign w:val="bottom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Понуђена</w:t>
            </w:r>
          </w:p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цена</w:t>
            </w:r>
          </w:p>
        </w:tc>
      </w:tr>
      <w:tr w:rsidR="00D36130" w:rsidRPr="00880367" w:rsidTr="006C222A">
        <w:tc>
          <w:tcPr>
            <w:tcW w:w="534" w:type="dxa"/>
            <w:vAlign w:val="center"/>
          </w:tcPr>
          <w:p w:rsidR="00D36130" w:rsidRDefault="00D36130" w:rsidP="00B6610B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9</w:t>
            </w:r>
          </w:p>
        </w:tc>
        <w:tc>
          <w:tcPr>
            <w:tcW w:w="6237" w:type="dxa"/>
            <w:vAlign w:val="bottom"/>
          </w:tcPr>
          <w:p w:rsidR="00D36130" w:rsidRDefault="00D36130" w:rsidP="00BD2AAC">
            <w:pPr>
              <w:pStyle w:val="Default"/>
              <w:rPr>
                <w:bCs/>
                <w:sz w:val="20"/>
                <w:szCs w:val="20"/>
              </w:rPr>
            </w:pPr>
            <w:r w:rsidRPr="00B6610B">
              <w:rPr>
                <w:b/>
                <w:sz w:val="20"/>
                <w:szCs w:val="20"/>
              </w:rPr>
              <w:t>MAN TGX 18.440 4X2 LL</w:t>
            </w:r>
            <w:r>
              <w:rPr>
                <w:b/>
                <w:sz w:val="20"/>
                <w:szCs w:val="20"/>
              </w:rPr>
              <w:t>,</w:t>
            </w:r>
            <w:r w:rsidRPr="00B6610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PK041-XD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D36130" w:rsidRPr="00B6610B" w:rsidRDefault="00D36130" w:rsidP="00BD2AA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2011, 324KW, 10518 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6130" w:rsidRPr="00880367" w:rsidTr="00F6175A">
        <w:tc>
          <w:tcPr>
            <w:tcW w:w="534" w:type="dxa"/>
            <w:vAlign w:val="center"/>
          </w:tcPr>
          <w:p w:rsidR="00D36130" w:rsidRDefault="00D36130" w:rsidP="00F67BA2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10</w:t>
            </w:r>
          </w:p>
        </w:tc>
        <w:tc>
          <w:tcPr>
            <w:tcW w:w="6237" w:type="dxa"/>
            <w:vAlign w:val="center"/>
          </w:tcPr>
          <w:p w:rsidR="00D36130" w:rsidRPr="00BD2AAC" w:rsidRDefault="00D36130" w:rsidP="00BD2AAC">
            <w:pPr>
              <w:pStyle w:val="Default"/>
              <w:rPr>
                <w:b/>
                <w:sz w:val="20"/>
                <w:szCs w:val="20"/>
              </w:rPr>
            </w:pPr>
            <w:r w:rsidRPr="00F67BA2">
              <w:rPr>
                <w:b/>
                <w:sz w:val="20"/>
                <w:szCs w:val="20"/>
              </w:rPr>
              <w:t>PRIKOLICA KOEGEL AN 24</w:t>
            </w:r>
            <w:r>
              <w:rPr>
                <w:b/>
                <w:sz w:val="20"/>
                <w:szCs w:val="20"/>
              </w:rPr>
              <w:t xml:space="preserve">,  </w:t>
            </w:r>
            <w:r w:rsidRPr="00F67BA2">
              <w:rPr>
                <w:b/>
                <w:bCs/>
                <w:sz w:val="20"/>
                <w:szCs w:val="20"/>
              </w:rPr>
              <w:t>AA-270PK</w:t>
            </w:r>
            <w:r>
              <w:rPr>
                <w:b/>
                <w:bCs/>
                <w:sz w:val="20"/>
                <w:szCs w:val="20"/>
              </w:rPr>
              <w:t xml:space="preserve">, 1999, </w:t>
            </w:r>
            <w:proofErr w:type="spellStart"/>
            <w:r>
              <w:rPr>
                <w:b/>
                <w:bCs/>
                <w:sz w:val="20"/>
                <w:szCs w:val="20"/>
              </w:rPr>
              <w:t>priključno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1.839.491,00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  <w:r w:rsidRPr="009F73E9">
              <w:rPr>
                <w:color w:val="000000"/>
                <w:sz w:val="22"/>
                <w:szCs w:val="22"/>
              </w:rPr>
              <w:t>1.450.000,00</w:t>
            </w:r>
          </w:p>
        </w:tc>
      </w:tr>
      <w:tr w:rsidR="00D36130" w:rsidRPr="00880367" w:rsidTr="00F6175A">
        <w:tc>
          <w:tcPr>
            <w:tcW w:w="534" w:type="dxa"/>
            <w:vAlign w:val="center"/>
          </w:tcPr>
          <w:p w:rsidR="00D36130" w:rsidRDefault="00D36130" w:rsidP="00642ADC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11</w:t>
            </w:r>
          </w:p>
        </w:tc>
        <w:tc>
          <w:tcPr>
            <w:tcW w:w="6237" w:type="dxa"/>
            <w:vAlign w:val="center"/>
          </w:tcPr>
          <w:p w:rsidR="00D36130" w:rsidRDefault="00D36130" w:rsidP="00BD2AAC">
            <w:pPr>
              <w:pStyle w:val="Default"/>
              <w:spacing w:after="36"/>
              <w:rPr>
                <w:b/>
                <w:bCs/>
                <w:sz w:val="20"/>
                <w:szCs w:val="20"/>
              </w:rPr>
            </w:pPr>
            <w:r w:rsidRPr="00642ADC">
              <w:rPr>
                <w:b/>
                <w:sz w:val="20"/>
                <w:szCs w:val="20"/>
              </w:rPr>
              <w:t>POLUPRIKOLICA SCHMITZ  SKI 24</w:t>
            </w:r>
            <w:r>
              <w:rPr>
                <w:b/>
                <w:sz w:val="20"/>
                <w:szCs w:val="20"/>
              </w:rPr>
              <w:t>,</w:t>
            </w:r>
            <w:r w:rsidRPr="00642ADC">
              <w:rPr>
                <w:b/>
                <w:sz w:val="20"/>
                <w:szCs w:val="20"/>
              </w:rPr>
              <w:t xml:space="preserve"> </w:t>
            </w:r>
            <w:r w:rsidRPr="00642ADC">
              <w:rPr>
                <w:b/>
                <w:bCs/>
                <w:sz w:val="20"/>
                <w:szCs w:val="20"/>
              </w:rPr>
              <w:t xml:space="preserve">AA-682PK 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D36130" w:rsidRPr="00BD2AAC" w:rsidRDefault="00D36130" w:rsidP="00BD2AAC">
            <w:pPr>
              <w:pStyle w:val="Default"/>
              <w:spacing w:after="3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2005, </w:t>
            </w:r>
            <w:proofErr w:type="spellStart"/>
            <w:r>
              <w:rPr>
                <w:b/>
                <w:bCs/>
                <w:sz w:val="20"/>
                <w:szCs w:val="20"/>
              </w:rPr>
              <w:t>priključno</w:t>
            </w:r>
            <w:proofErr w:type="spellEnd"/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224.487,00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  <w:r w:rsidRPr="009F73E9">
              <w:rPr>
                <w:color w:val="000000"/>
                <w:sz w:val="22"/>
                <w:szCs w:val="22"/>
              </w:rPr>
              <w:t>200.000,00</w:t>
            </w:r>
          </w:p>
        </w:tc>
      </w:tr>
      <w:tr w:rsidR="00D36130" w:rsidRPr="00880367" w:rsidTr="00F6175A">
        <w:tc>
          <w:tcPr>
            <w:tcW w:w="534" w:type="dxa"/>
            <w:vAlign w:val="center"/>
          </w:tcPr>
          <w:p w:rsidR="00D36130" w:rsidRDefault="00D36130" w:rsidP="00C41994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6237" w:type="dxa"/>
            <w:vAlign w:val="center"/>
          </w:tcPr>
          <w:p w:rsidR="00D36130" w:rsidRDefault="00D36130" w:rsidP="00BD2A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41994">
              <w:rPr>
                <w:b/>
                <w:bCs/>
                <w:sz w:val="20"/>
                <w:szCs w:val="20"/>
              </w:rPr>
              <w:t xml:space="preserve">POLUPRIKOLICA </w:t>
            </w:r>
            <w:r w:rsidRPr="00C41994">
              <w:rPr>
                <w:b/>
                <w:sz w:val="20"/>
                <w:szCs w:val="20"/>
              </w:rPr>
              <w:t>SCHMITZ SCS 24/L 13.62. MB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419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AA-003PK,</w:t>
            </w:r>
          </w:p>
          <w:p w:rsidR="00D36130" w:rsidRPr="00BD2AAC" w:rsidRDefault="00D36130" w:rsidP="00BD2A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2007, </w:t>
            </w:r>
            <w:proofErr w:type="spellStart"/>
            <w:r>
              <w:rPr>
                <w:b/>
                <w:bCs/>
                <w:sz w:val="20"/>
                <w:szCs w:val="20"/>
              </w:rPr>
              <w:t>priključno</w:t>
            </w:r>
            <w:proofErr w:type="spellEnd"/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509.098,50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  <w:r w:rsidRPr="009F73E9">
              <w:rPr>
                <w:color w:val="000000"/>
                <w:sz w:val="22"/>
                <w:szCs w:val="22"/>
              </w:rPr>
              <w:t>350.000,00</w:t>
            </w:r>
          </w:p>
        </w:tc>
      </w:tr>
      <w:tr w:rsidR="00D36130" w:rsidRPr="00880367" w:rsidTr="00F6175A">
        <w:tc>
          <w:tcPr>
            <w:tcW w:w="534" w:type="dxa"/>
            <w:vAlign w:val="center"/>
          </w:tcPr>
          <w:p w:rsidR="00D36130" w:rsidRDefault="00D36130" w:rsidP="000E6241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6237" w:type="dxa"/>
            <w:vAlign w:val="center"/>
          </w:tcPr>
          <w:p w:rsidR="00D36130" w:rsidRDefault="00D36130" w:rsidP="00FF4843">
            <w:pPr>
              <w:pStyle w:val="Default"/>
              <w:spacing w:after="38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MERCEDES BENZ ATEGO 1328 ,</w:t>
            </w:r>
            <w:r w:rsidRPr="000E62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PK046-KT,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36130" w:rsidRPr="000E6241" w:rsidRDefault="00D36130" w:rsidP="00FF4843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2002,  205KW,  6374cm3,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899.976,00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  <w:r w:rsidRPr="009F73E9">
              <w:rPr>
                <w:color w:val="000000"/>
                <w:sz w:val="22"/>
                <w:szCs w:val="22"/>
              </w:rPr>
              <w:t>540.000,00</w:t>
            </w:r>
          </w:p>
        </w:tc>
      </w:tr>
      <w:tr w:rsidR="00D36130" w:rsidRPr="00880367" w:rsidTr="006C222A">
        <w:tc>
          <w:tcPr>
            <w:tcW w:w="534" w:type="dxa"/>
            <w:vAlign w:val="center"/>
          </w:tcPr>
          <w:p w:rsidR="00D36130" w:rsidRDefault="00D36130" w:rsidP="005631D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19</w:t>
            </w:r>
          </w:p>
        </w:tc>
        <w:tc>
          <w:tcPr>
            <w:tcW w:w="6237" w:type="dxa"/>
            <w:vAlign w:val="bottom"/>
          </w:tcPr>
          <w:p w:rsidR="00D36130" w:rsidRDefault="00D36130" w:rsidP="00FF4843">
            <w:pPr>
              <w:pStyle w:val="Default"/>
              <w:spacing w:after="36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MERCEDES BENZ SPRINTER 311 CDI,</w:t>
            </w:r>
            <w:r w:rsidRPr="00EC776C">
              <w:rPr>
                <w:b/>
                <w:sz w:val="20"/>
                <w:szCs w:val="20"/>
              </w:rPr>
              <w:t xml:space="preserve"> </w:t>
            </w:r>
            <w:r w:rsidRPr="00EC776C">
              <w:rPr>
                <w:b/>
                <w:bCs/>
                <w:sz w:val="20"/>
                <w:szCs w:val="20"/>
              </w:rPr>
              <w:t xml:space="preserve">PK009-GI 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D36130" w:rsidRPr="00EC776C" w:rsidRDefault="00D36130" w:rsidP="00FF4843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>
              <w:rPr>
                <w:bCs/>
                <w:sz w:val="20"/>
                <w:szCs w:val="20"/>
              </w:rPr>
              <w:t xml:space="preserve">2003, 95KW,  2148cm3,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253.531.00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  <w:r w:rsidRPr="009F73E9">
              <w:rPr>
                <w:color w:val="000000"/>
                <w:sz w:val="22"/>
                <w:szCs w:val="22"/>
              </w:rPr>
              <w:t>100.000,00</w:t>
            </w:r>
          </w:p>
        </w:tc>
      </w:tr>
      <w:tr w:rsidR="00D36130" w:rsidRPr="00880367" w:rsidTr="006C222A">
        <w:tc>
          <w:tcPr>
            <w:tcW w:w="534" w:type="dxa"/>
            <w:vAlign w:val="center"/>
          </w:tcPr>
          <w:p w:rsidR="00D36130" w:rsidRDefault="00D36130" w:rsidP="00E61388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6237" w:type="dxa"/>
            <w:vAlign w:val="bottom"/>
          </w:tcPr>
          <w:p w:rsidR="00D36130" w:rsidRPr="0082616A" w:rsidRDefault="00D36130" w:rsidP="0031350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2616A">
              <w:rPr>
                <w:b/>
                <w:bCs/>
                <w:sz w:val="20"/>
                <w:szCs w:val="20"/>
              </w:rPr>
              <w:t>Prikolica</w:t>
            </w:r>
            <w:proofErr w:type="spellEnd"/>
            <w:r w:rsidRPr="0082616A">
              <w:rPr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82616A">
              <w:rPr>
                <w:b/>
                <w:bCs/>
                <w:sz w:val="20"/>
                <w:szCs w:val="20"/>
              </w:rPr>
              <w:t>bez</w:t>
            </w:r>
            <w:proofErr w:type="spellEnd"/>
            <w:r w:rsidRPr="0082616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b/>
                <w:bCs/>
                <w:sz w:val="20"/>
                <w:szCs w:val="20"/>
              </w:rPr>
              <w:t>oznaka</w:t>
            </w:r>
            <w:proofErr w:type="spellEnd"/>
          </w:p>
          <w:p w:rsidR="00D36130" w:rsidRPr="0082616A" w:rsidRDefault="00D36130" w:rsidP="0082616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82616A">
              <w:rPr>
                <w:sz w:val="20"/>
                <w:szCs w:val="20"/>
              </w:rPr>
              <w:t>Nema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točkove</w:t>
            </w:r>
            <w:proofErr w:type="spellEnd"/>
            <w:r w:rsidRPr="0082616A">
              <w:rPr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sz w:val="20"/>
                <w:szCs w:val="20"/>
              </w:rPr>
              <w:t>potpuno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dotrajala</w:t>
            </w:r>
            <w:proofErr w:type="spellEnd"/>
            <w:r w:rsidRPr="0082616A">
              <w:rPr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sz w:val="20"/>
                <w:szCs w:val="20"/>
              </w:rPr>
              <w:t>nema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oznake</w:t>
            </w:r>
            <w:proofErr w:type="spellEnd"/>
            <w:r w:rsidRPr="0082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43.500,00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  <w:r w:rsidRPr="009F73E9"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D36130" w:rsidRPr="00880367" w:rsidTr="006C222A">
        <w:tc>
          <w:tcPr>
            <w:tcW w:w="534" w:type="dxa"/>
            <w:vAlign w:val="center"/>
          </w:tcPr>
          <w:p w:rsidR="00D36130" w:rsidRDefault="00D36130" w:rsidP="00E61388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33</w:t>
            </w:r>
          </w:p>
        </w:tc>
        <w:tc>
          <w:tcPr>
            <w:tcW w:w="6237" w:type="dxa"/>
            <w:vAlign w:val="bottom"/>
          </w:tcPr>
          <w:p w:rsidR="00D36130" w:rsidRPr="0082616A" w:rsidRDefault="00D36130" w:rsidP="003135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2616A">
              <w:rPr>
                <w:b/>
                <w:bCs/>
                <w:sz w:val="20"/>
                <w:szCs w:val="20"/>
              </w:rPr>
              <w:t xml:space="preserve">PALETAR </w:t>
            </w:r>
          </w:p>
          <w:p w:rsidR="00D36130" w:rsidRPr="0082616A" w:rsidRDefault="00D36130" w:rsidP="0082616A">
            <w:pPr>
              <w:pStyle w:val="Default"/>
              <w:rPr>
                <w:b/>
                <w:bCs/>
                <w:sz w:val="20"/>
                <w:szCs w:val="20"/>
                <w:lang w:val="sr-Latn-ME"/>
              </w:rPr>
            </w:pPr>
            <w:proofErr w:type="spellStart"/>
            <w:r w:rsidRPr="0082616A">
              <w:rPr>
                <w:bCs/>
                <w:sz w:val="20"/>
                <w:szCs w:val="20"/>
              </w:rPr>
              <w:t>Ručni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bCs/>
                <w:sz w:val="20"/>
                <w:szCs w:val="20"/>
              </w:rPr>
              <w:t>paletni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bCs/>
                <w:sz w:val="20"/>
                <w:szCs w:val="20"/>
              </w:rPr>
              <w:t>viljuskar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3 </w:t>
            </w:r>
            <w:proofErr w:type="spellStart"/>
            <w:r w:rsidRPr="0082616A">
              <w:rPr>
                <w:bCs/>
                <w:sz w:val="20"/>
                <w:szCs w:val="20"/>
              </w:rPr>
              <w:t>kom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bCs/>
                <w:sz w:val="20"/>
                <w:szCs w:val="20"/>
              </w:rPr>
              <w:t>Prodaje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se </w:t>
            </w:r>
            <w:proofErr w:type="spellStart"/>
            <w:r w:rsidRPr="0082616A">
              <w:rPr>
                <w:bCs/>
                <w:sz w:val="20"/>
                <w:szCs w:val="20"/>
              </w:rPr>
              <w:t>pojedinačno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bCs/>
                <w:sz w:val="20"/>
                <w:szCs w:val="20"/>
              </w:rPr>
              <w:t>svaki</w:t>
            </w:r>
            <w:proofErr w:type="spellEnd"/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16.200,00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  <w:r w:rsidRPr="009F73E9"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D36130" w:rsidRPr="00880367" w:rsidTr="006C222A">
        <w:tc>
          <w:tcPr>
            <w:tcW w:w="534" w:type="dxa"/>
            <w:vAlign w:val="center"/>
          </w:tcPr>
          <w:p w:rsidR="00D36130" w:rsidRDefault="00D36130" w:rsidP="00E61388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237" w:type="dxa"/>
            <w:vAlign w:val="bottom"/>
          </w:tcPr>
          <w:p w:rsidR="00D36130" w:rsidRPr="00D36130" w:rsidRDefault="00D36130" w:rsidP="00D36130">
            <w:pPr>
              <w:pStyle w:val="Default"/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b/>
                <w:color w:val="000000"/>
                <w:sz w:val="22"/>
                <w:szCs w:val="22"/>
                <w:lang w:val="sr-Cyrl-RS"/>
              </w:rPr>
              <w:t>3.786.283,50</w:t>
            </w: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E9">
              <w:rPr>
                <w:b/>
                <w:bCs/>
                <w:color w:val="000000"/>
                <w:sz w:val="22"/>
                <w:szCs w:val="22"/>
              </w:rPr>
              <w:t>2.670.000,00</w:t>
            </w:r>
          </w:p>
        </w:tc>
      </w:tr>
    </w:tbl>
    <w:p w:rsidR="0011242F" w:rsidRPr="0082616A" w:rsidRDefault="0011242F" w:rsidP="001847F3">
      <w:pPr>
        <w:jc w:val="both"/>
        <w:rPr>
          <w:color w:val="FF0000"/>
          <w:sz w:val="10"/>
          <w:szCs w:val="10"/>
          <w:lang w:val="sr-Cyrl-RS"/>
        </w:rPr>
      </w:pPr>
    </w:p>
    <w:p w:rsidR="00B93B06" w:rsidRPr="0082616A" w:rsidRDefault="00B93B06" w:rsidP="001847F3">
      <w:pPr>
        <w:jc w:val="both"/>
        <w:rPr>
          <w:color w:val="FF0000"/>
          <w:sz w:val="20"/>
          <w:szCs w:val="20"/>
          <w:lang w:val="sr-Cyrl-RS"/>
        </w:rPr>
      </w:pPr>
    </w:p>
    <w:p w:rsidR="000253D3" w:rsidRPr="00FA7990" w:rsidRDefault="00D36130" w:rsidP="000253D3">
      <w:pPr>
        <w:spacing w:after="120"/>
        <w:jc w:val="both"/>
        <w:rPr>
          <w:b/>
          <w:sz w:val="22"/>
          <w:szCs w:val="22"/>
          <w:lang w:val="sr-Cyrl-RS"/>
        </w:rPr>
      </w:pPr>
      <w:r w:rsidRPr="00FA7990">
        <w:rPr>
          <w:b/>
          <w:sz w:val="22"/>
          <w:szCs w:val="22"/>
          <w:lang w:val="sr-Cyrl-RS"/>
        </w:rPr>
        <w:t>Продаја непосредном погодбом НП2</w:t>
      </w:r>
      <w:r w:rsidR="000253D3" w:rsidRPr="00FA7990">
        <w:rPr>
          <w:b/>
          <w:sz w:val="22"/>
          <w:szCs w:val="22"/>
        </w:rPr>
        <w:t>,</w:t>
      </w:r>
      <w:r w:rsidR="000253D3" w:rsidRPr="00FA7990">
        <w:rPr>
          <w:sz w:val="22"/>
          <w:szCs w:val="22"/>
        </w:rPr>
        <w:t xml:space="preserve"> </w:t>
      </w:r>
      <w:r w:rsidRPr="00FA7990">
        <w:rPr>
          <w:sz w:val="22"/>
          <w:szCs w:val="22"/>
          <w:lang w:val="sr-Cyrl-RS"/>
        </w:rPr>
        <w:t xml:space="preserve">спровешће </w:t>
      </w:r>
      <w:r w:rsidR="00FA7990">
        <w:rPr>
          <w:sz w:val="22"/>
          <w:szCs w:val="22"/>
          <w:lang w:val="sr-Cyrl-RS"/>
        </w:rPr>
        <w:t xml:space="preserve">се </w:t>
      </w:r>
      <w:r w:rsidRPr="00FA7990">
        <w:rPr>
          <w:sz w:val="22"/>
          <w:szCs w:val="22"/>
          <w:lang w:val="sr-Cyrl-RS"/>
        </w:rPr>
        <w:t>након уплате предрачуна за на</w:t>
      </w:r>
      <w:bookmarkStart w:id="0" w:name="_GoBack"/>
      <w:bookmarkEnd w:id="0"/>
      <w:r w:rsidRPr="00FA7990">
        <w:rPr>
          <w:sz w:val="22"/>
          <w:szCs w:val="22"/>
          <w:lang w:val="sr-Cyrl-RS"/>
        </w:rPr>
        <w:t>ведена возила</w:t>
      </w:r>
      <w:r w:rsidR="00FA7990">
        <w:rPr>
          <w:sz w:val="22"/>
          <w:szCs w:val="22"/>
          <w:lang w:val="sr-Cyrl-RS"/>
        </w:rPr>
        <w:t xml:space="preserve"> на текући рачун стечајног дужника </w:t>
      </w:r>
      <w:r w:rsidR="00FA7990" w:rsidRPr="00FA7990">
        <w:rPr>
          <w:b/>
          <w:sz w:val="22"/>
          <w:szCs w:val="22"/>
          <w:lang w:val="sr-Cyrl-RS"/>
        </w:rPr>
        <w:t>325-9500700044585</w:t>
      </w:r>
      <w:r w:rsidR="00FA7990">
        <w:rPr>
          <w:sz w:val="22"/>
          <w:szCs w:val="22"/>
          <w:lang w:val="sr-Cyrl-RS"/>
        </w:rPr>
        <w:t>-09</w:t>
      </w:r>
      <w:r w:rsidRPr="00FA7990">
        <w:rPr>
          <w:sz w:val="22"/>
          <w:szCs w:val="22"/>
          <w:lang w:val="sr-Cyrl-RS"/>
        </w:rPr>
        <w:t xml:space="preserve">, а не пре  </w:t>
      </w:r>
      <w:proofErr w:type="spellStart"/>
      <w:r w:rsidR="000253D3" w:rsidRPr="00FA7990">
        <w:rPr>
          <w:sz w:val="22"/>
          <w:szCs w:val="22"/>
        </w:rPr>
        <w:t>дана</w:t>
      </w:r>
      <w:proofErr w:type="spellEnd"/>
      <w:r w:rsidR="000253D3" w:rsidRPr="00FA7990">
        <w:rPr>
          <w:b/>
          <w:sz w:val="22"/>
          <w:szCs w:val="22"/>
        </w:rPr>
        <w:t xml:space="preserve"> </w:t>
      </w:r>
      <w:r w:rsidRPr="00FA7990">
        <w:rPr>
          <w:b/>
          <w:sz w:val="22"/>
          <w:szCs w:val="22"/>
          <w:lang w:val="sr-Cyrl-RS"/>
        </w:rPr>
        <w:t>22.04</w:t>
      </w:r>
      <w:r w:rsidR="000253D3" w:rsidRPr="00FA7990">
        <w:rPr>
          <w:b/>
          <w:sz w:val="22"/>
          <w:szCs w:val="22"/>
          <w:lang w:val="sr-Cyrl-RS"/>
        </w:rPr>
        <w:t xml:space="preserve">.2020. </w:t>
      </w:r>
      <w:proofErr w:type="spellStart"/>
      <w:proofErr w:type="gramStart"/>
      <w:r w:rsidR="000253D3" w:rsidRPr="00FA7990">
        <w:rPr>
          <w:b/>
          <w:sz w:val="22"/>
          <w:szCs w:val="22"/>
        </w:rPr>
        <w:t>године</w:t>
      </w:r>
      <w:proofErr w:type="spellEnd"/>
      <w:proofErr w:type="gramEnd"/>
      <w:r w:rsidR="000253D3" w:rsidRPr="00FA7990">
        <w:rPr>
          <w:b/>
          <w:sz w:val="22"/>
          <w:szCs w:val="22"/>
          <w:lang w:val="sr-Cyrl-RS"/>
        </w:rPr>
        <w:t>.</w:t>
      </w:r>
    </w:p>
    <w:p w:rsidR="00F201CC" w:rsidRPr="00FA7990" w:rsidRDefault="001847F3" w:rsidP="001847F3">
      <w:pPr>
        <w:jc w:val="both"/>
        <w:rPr>
          <w:sz w:val="22"/>
          <w:szCs w:val="22"/>
          <w:lang w:val="sr-Cyrl-CS"/>
        </w:rPr>
      </w:pPr>
      <w:r w:rsidRPr="00FA7990">
        <w:rPr>
          <w:sz w:val="22"/>
          <w:szCs w:val="22"/>
        </w:rPr>
        <w:t>O</w:t>
      </w:r>
      <w:r w:rsidR="00771F30" w:rsidRPr="00FA7990">
        <w:rPr>
          <w:sz w:val="22"/>
          <w:szCs w:val="22"/>
          <w:lang w:val="sr-Cyrl-CS"/>
        </w:rPr>
        <w:t>влашћено лице</w:t>
      </w:r>
      <w:r w:rsidR="00771F30" w:rsidRPr="00FA7990">
        <w:rPr>
          <w:sz w:val="22"/>
          <w:szCs w:val="22"/>
        </w:rPr>
        <w:t xml:space="preserve"> </w:t>
      </w:r>
      <w:r w:rsidRPr="00FA7990">
        <w:rPr>
          <w:sz w:val="22"/>
          <w:szCs w:val="22"/>
          <w:lang w:val="ru-RU"/>
        </w:rPr>
        <w:t xml:space="preserve">стечајни управник </w:t>
      </w:r>
      <w:r w:rsidRPr="00FA7990">
        <w:rPr>
          <w:sz w:val="22"/>
          <w:szCs w:val="22"/>
          <w:lang w:val="sr-Cyrl-CS"/>
        </w:rPr>
        <w:t xml:space="preserve"> </w:t>
      </w:r>
    </w:p>
    <w:p w:rsidR="001847F3" w:rsidRPr="00FA7990" w:rsidRDefault="00136408" w:rsidP="001847F3">
      <w:pPr>
        <w:jc w:val="both"/>
        <w:rPr>
          <w:sz w:val="22"/>
          <w:szCs w:val="22"/>
          <w:lang w:val="sr-Cyrl-CS"/>
        </w:rPr>
      </w:pPr>
      <w:r w:rsidRPr="00FA7990">
        <w:rPr>
          <w:b/>
          <w:sz w:val="22"/>
          <w:szCs w:val="22"/>
          <w:lang w:val="sr-Cyrl-RS"/>
        </w:rPr>
        <w:t>Драган Милошевић</w:t>
      </w:r>
      <w:r w:rsidR="001847F3" w:rsidRPr="00FA7990">
        <w:rPr>
          <w:b/>
          <w:sz w:val="22"/>
          <w:szCs w:val="22"/>
          <w:lang w:val="sr-Cyrl-CS"/>
        </w:rPr>
        <w:t>, контакт телефон: 06</w:t>
      </w:r>
      <w:r w:rsidRPr="00FA7990">
        <w:rPr>
          <w:b/>
          <w:sz w:val="22"/>
          <w:szCs w:val="22"/>
          <w:lang w:val="sr-Cyrl-CS"/>
        </w:rPr>
        <w:t>9</w:t>
      </w:r>
      <w:r w:rsidR="001847F3" w:rsidRPr="00FA7990">
        <w:rPr>
          <w:b/>
          <w:sz w:val="22"/>
          <w:szCs w:val="22"/>
          <w:lang w:val="sr-Cyrl-CS"/>
        </w:rPr>
        <w:t xml:space="preserve"> – 5</w:t>
      </w:r>
      <w:r w:rsidRPr="00FA7990">
        <w:rPr>
          <w:b/>
          <w:sz w:val="22"/>
          <w:szCs w:val="22"/>
          <w:lang w:val="sr-Cyrl-CS"/>
        </w:rPr>
        <w:t>573 021</w:t>
      </w:r>
      <w:r w:rsidR="00771F30" w:rsidRPr="00FA7990">
        <w:rPr>
          <w:b/>
          <w:sz w:val="22"/>
          <w:szCs w:val="22"/>
          <w:lang w:val="sr-Cyrl-CS"/>
        </w:rPr>
        <w:t xml:space="preserve"> е-пошта: </w:t>
      </w:r>
      <w:hyperlink r:id="rId7" w:history="1">
        <w:r w:rsidR="00771F30" w:rsidRPr="00FA7990">
          <w:rPr>
            <w:rStyle w:val="Hyperlink"/>
            <w:b/>
            <w:sz w:val="22"/>
            <w:szCs w:val="22"/>
          </w:rPr>
          <w:t>stecajnimilosevic@yahoo.com</w:t>
        </w:r>
      </w:hyperlink>
      <w:r w:rsidR="00771F30" w:rsidRPr="00FA7990">
        <w:rPr>
          <w:b/>
          <w:sz w:val="22"/>
          <w:szCs w:val="22"/>
        </w:rPr>
        <w:t xml:space="preserve">. </w:t>
      </w:r>
      <w:r w:rsidR="001847F3" w:rsidRPr="00FA7990">
        <w:rPr>
          <w:sz w:val="22"/>
          <w:szCs w:val="22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4F6A66"/>
    <w:rsid w:val="00561C11"/>
    <w:rsid w:val="005631DF"/>
    <w:rsid w:val="0057787F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4AE2"/>
    <w:rsid w:val="006D62A5"/>
    <w:rsid w:val="006E308A"/>
    <w:rsid w:val="006E5CE2"/>
    <w:rsid w:val="00720E42"/>
    <w:rsid w:val="00727172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C4397"/>
    <w:rsid w:val="007E4F86"/>
    <w:rsid w:val="007F7440"/>
    <w:rsid w:val="008060AF"/>
    <w:rsid w:val="00811215"/>
    <w:rsid w:val="0082616A"/>
    <w:rsid w:val="008274BF"/>
    <w:rsid w:val="008466E5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B04107"/>
    <w:rsid w:val="00B4528F"/>
    <w:rsid w:val="00B4764D"/>
    <w:rsid w:val="00B53F7E"/>
    <w:rsid w:val="00B6610B"/>
    <w:rsid w:val="00B93B06"/>
    <w:rsid w:val="00BD2AAC"/>
    <w:rsid w:val="00BF3524"/>
    <w:rsid w:val="00BF4FD8"/>
    <w:rsid w:val="00C32559"/>
    <w:rsid w:val="00C41994"/>
    <w:rsid w:val="00C44D92"/>
    <w:rsid w:val="00C56CC5"/>
    <w:rsid w:val="00C80DC2"/>
    <w:rsid w:val="00CB317B"/>
    <w:rsid w:val="00CE17E1"/>
    <w:rsid w:val="00CF2B07"/>
    <w:rsid w:val="00D36130"/>
    <w:rsid w:val="00D408E0"/>
    <w:rsid w:val="00D432F3"/>
    <w:rsid w:val="00D43DBE"/>
    <w:rsid w:val="00D522C4"/>
    <w:rsid w:val="00D57F0F"/>
    <w:rsid w:val="00D66D79"/>
    <w:rsid w:val="00D84279"/>
    <w:rsid w:val="00D90309"/>
    <w:rsid w:val="00DA0D1D"/>
    <w:rsid w:val="00DB408B"/>
    <w:rsid w:val="00DF23BD"/>
    <w:rsid w:val="00DF43C4"/>
    <w:rsid w:val="00E01201"/>
    <w:rsid w:val="00E12B97"/>
    <w:rsid w:val="00E3658E"/>
    <w:rsid w:val="00E61388"/>
    <w:rsid w:val="00E618F9"/>
    <w:rsid w:val="00E714DD"/>
    <w:rsid w:val="00E80E3A"/>
    <w:rsid w:val="00E87491"/>
    <w:rsid w:val="00E8753F"/>
    <w:rsid w:val="00E94FFD"/>
    <w:rsid w:val="00EA3A17"/>
    <w:rsid w:val="00EB5762"/>
    <w:rsid w:val="00EC239C"/>
    <w:rsid w:val="00EC776C"/>
    <w:rsid w:val="00EE2112"/>
    <w:rsid w:val="00EE61E5"/>
    <w:rsid w:val="00EF22F1"/>
    <w:rsid w:val="00F0208A"/>
    <w:rsid w:val="00F17B89"/>
    <w:rsid w:val="00F201CC"/>
    <w:rsid w:val="00F2323E"/>
    <w:rsid w:val="00F34A14"/>
    <w:rsid w:val="00F368F8"/>
    <w:rsid w:val="00F53A76"/>
    <w:rsid w:val="00F6175A"/>
    <w:rsid w:val="00F67BA2"/>
    <w:rsid w:val="00F85AB8"/>
    <w:rsid w:val="00FA7990"/>
    <w:rsid w:val="00FC5A89"/>
    <w:rsid w:val="00FD6C3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cajnimilosev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A69B-5702-4D0A-B5E7-403C3E2A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2020-02-03T10:12:00Z</cp:lastPrinted>
  <dcterms:created xsi:type="dcterms:W3CDTF">2020-04-07T07:59:00Z</dcterms:created>
  <dcterms:modified xsi:type="dcterms:W3CDTF">2020-04-07T08:01:00Z</dcterms:modified>
</cp:coreProperties>
</file>